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0C" w:rsidRPr="003A6F0C" w:rsidRDefault="003A6F0C" w:rsidP="003A6F0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F0C">
        <w:rPr>
          <w:rFonts w:ascii="Times New Roman" w:hAnsi="Times New Roman" w:cs="Times New Roman"/>
          <w:sz w:val="24"/>
          <w:szCs w:val="24"/>
        </w:rPr>
        <w:t xml:space="preserve">Карта независимой оценки качества образовательной деятельности по образовательным организациям, реализующим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0A93" w:rsidRPr="008D75CA" w:rsidRDefault="00560A93" w:rsidP="0056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«Детско-юношеский центр»</w:t>
      </w:r>
    </w:p>
    <w:tbl>
      <w:tblPr>
        <w:tblStyle w:val="1"/>
        <w:tblW w:w="9768" w:type="dxa"/>
        <w:tblLook w:val="04A0" w:firstRow="1" w:lastRow="0" w:firstColumn="1" w:lastColumn="0" w:noHBand="0" w:noVBand="1"/>
      </w:tblPr>
      <w:tblGrid>
        <w:gridCol w:w="576"/>
        <w:gridCol w:w="4664"/>
        <w:gridCol w:w="1536"/>
        <w:gridCol w:w="1582"/>
        <w:gridCol w:w="1410"/>
      </w:tblGrid>
      <w:tr w:rsidR="00560A93" w:rsidRPr="008D75CA" w:rsidTr="003C734A">
        <w:tc>
          <w:tcPr>
            <w:tcW w:w="576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64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Максимально допустимое значение показателя</w:t>
            </w:r>
          </w:p>
        </w:tc>
        <w:tc>
          <w:tcPr>
            <w:tcW w:w="1582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Среднее значение интегрального показателя по г. Туле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Значение показателя по ОО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560A93" w:rsidRPr="008D75CA" w:rsidRDefault="00560A9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Интернет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560A93" w:rsidRPr="008D75CA" w:rsidRDefault="00560A9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560A93" w:rsidRPr="008D75CA" w:rsidRDefault="00560A9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98,2 %</w:t>
            </w:r>
          </w:p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560A93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98,9 %</w:t>
            </w:r>
          </w:p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560A93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560A93" w:rsidRPr="008D75CA" w:rsidRDefault="00560A9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услуг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91,1 %</w:t>
            </w:r>
          </w:p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0" w:type="dxa"/>
            <w:vAlign w:val="center"/>
          </w:tcPr>
          <w:p w:rsidR="00560A93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97,8 %</w:t>
            </w:r>
          </w:p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560A93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60A93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560A93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A93" w:rsidRPr="008D75CA" w:rsidTr="003C734A">
        <w:tc>
          <w:tcPr>
            <w:tcW w:w="57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интегрального показателя НОК ОД</w:t>
            </w:r>
          </w:p>
        </w:tc>
        <w:tc>
          <w:tcPr>
            <w:tcW w:w="1536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160 баллов</w:t>
            </w:r>
          </w:p>
        </w:tc>
        <w:tc>
          <w:tcPr>
            <w:tcW w:w="1582" w:type="dxa"/>
          </w:tcPr>
          <w:p w:rsidR="00560A93" w:rsidRPr="008D75CA" w:rsidRDefault="00560A9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1410" w:type="dxa"/>
            <w:vAlign w:val="center"/>
          </w:tcPr>
          <w:p w:rsidR="00560A93" w:rsidRPr="008D75CA" w:rsidRDefault="00560A93" w:rsidP="003C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130,7</w:t>
            </w:r>
          </w:p>
        </w:tc>
      </w:tr>
    </w:tbl>
    <w:p w:rsidR="00D03EB0" w:rsidRDefault="00560A93" w:rsidP="00560A93">
      <w:pPr>
        <w:jc w:val="center"/>
      </w:pPr>
      <w:r w:rsidRPr="007D4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6FB9E" wp14:editId="67FFA0A8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5A70" w:rsidRPr="009439DE" w:rsidRDefault="00405A70" w:rsidP="0040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DE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и рекомендации по результатам независимой оценки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(дошкольное образование) в 2017 году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рейтинга образовательной организации (ОО) города по итогам независимой оценки качества образовательной деятельности в 2017 году: 0,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значение интегрального показателя качества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>130,7</w:t>
      </w:r>
      <w:r>
        <w:rPr>
          <w:rFonts w:ascii="Times New Roman" w:hAnsi="Times New Roman" w:cs="Times New Roman"/>
          <w:sz w:val="24"/>
          <w:szCs w:val="24"/>
        </w:rPr>
        <w:t xml:space="preserve"> баллов (максимально допустимое значение показателя – 160).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87,2 % условиям оценки (35 баллов).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На сайте не представлена ранжированная информация об обращении граждан.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Комфортность условий в ОО на </w:t>
      </w:r>
      <w:r>
        <w:rPr>
          <w:rFonts w:ascii="Times New Roman" w:hAnsi="Times New Roman" w:cs="Times New Roman"/>
          <w:sz w:val="24"/>
          <w:szCs w:val="24"/>
        </w:rPr>
        <w:t>67,1</w:t>
      </w:r>
      <w:r>
        <w:rPr>
          <w:rFonts w:ascii="Times New Roman" w:hAnsi="Times New Roman" w:cs="Times New Roman"/>
          <w:sz w:val="24"/>
          <w:szCs w:val="24"/>
        </w:rPr>
        <w:t xml:space="preserve"> % удовлетворяет условиям оценки (4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). Средние показатели материально-технического оснащения. Реализуются дополнительные образовательные программы по всем направлениям. Созданы условия для развития творческих способностей и талантов, воспитанники принимают активное участие в конкурсах и соревнованиях разного уровня. Много победителей международных, федеральных, региональных конкурсов.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высокие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оценки родителями </w:t>
      </w:r>
      <w:r>
        <w:rPr>
          <w:rFonts w:ascii="Times New Roman" w:hAnsi="Times New Roman" w:cs="Times New Roman"/>
          <w:sz w:val="24"/>
          <w:szCs w:val="24"/>
        </w:rPr>
        <w:t>доброжелательности и вежливости работников ОО (100 %), компетентности педагогов (100 %).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материально-техническим обеспечением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60A93" w:rsidRDefault="00560A93" w:rsidP="005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 – 100 %.</w:t>
      </w:r>
    </w:p>
    <w:p w:rsidR="00405A70" w:rsidRDefault="00560A93" w:rsidP="00560A93">
      <w:r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- 100%.</w:t>
      </w:r>
    </w:p>
    <w:p w:rsidR="00560A93" w:rsidRDefault="00560A93" w:rsidP="00405A70">
      <w:pPr>
        <w:rPr>
          <w:rFonts w:ascii="Times New Roman" w:hAnsi="Times New Roman" w:cs="Times New Roman"/>
          <w:sz w:val="24"/>
          <w:szCs w:val="24"/>
        </w:rPr>
      </w:pPr>
    </w:p>
    <w:p w:rsidR="00405A70" w:rsidRDefault="00405A70" w:rsidP="00405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560A93" w:rsidRPr="00560A93" w:rsidRDefault="00560A93" w:rsidP="00560A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A93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Default="00560A93" w:rsidP="00560A93">
      <w:pPr>
        <w:pStyle w:val="a4"/>
        <w:numPr>
          <w:ilvl w:val="0"/>
          <w:numId w:val="1"/>
        </w:numPr>
      </w:pPr>
      <w:r w:rsidRPr="00560A93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5B3"/>
    <w:multiLevelType w:val="hybridMultilevel"/>
    <w:tmpl w:val="3A4A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3A6F0C"/>
    <w:rsid w:val="00405A70"/>
    <w:rsid w:val="00560A93"/>
    <w:rsid w:val="00D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E589-C8A6-4FB2-9F89-B6AFD60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Соответствие значений</a:t>
            </a:r>
            <a:r>
              <a:rPr lang="ru-RU" sz="1200" b="1" baseline="0"/>
              <a:t> интегральных показателей НОК ОД МБУДО "ДЮЦ" максимально допустимым значениям данных показателей, %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Интегральное значение по совокупности общих критериев НОК ОД</c:v>
                </c:pt>
                <c:pt idx="2">
                  <c:v>Удовлетворенность качеством образовательной деятельности</c:v>
                </c:pt>
                <c:pt idx="3">
                  <c:v>Доброжелательность, вежливость, компетентность работников</c:v>
                </c:pt>
                <c:pt idx="4">
                  <c:v>Комфортность условий, в которых осуществляется образовательная деятельность</c:v>
                </c:pt>
                <c:pt idx="5">
                  <c:v>Открытость и доступность информации об организации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2">
                  <c:v>95.7</c:v>
                </c:pt>
                <c:pt idx="3">
                  <c:v>100</c:v>
                </c:pt>
                <c:pt idx="4">
                  <c:v>67.099999999999994</c:v>
                </c:pt>
                <c:pt idx="5">
                  <c:v>87.5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6850032"/>
        <c:axId val="286848856"/>
        <c:axId val="0"/>
      </c:bar3DChart>
      <c:catAx>
        <c:axId val="28685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48856"/>
        <c:crosses val="autoZero"/>
        <c:auto val="1"/>
        <c:lblAlgn val="ctr"/>
        <c:lblOffset val="100"/>
        <c:noMultiLvlLbl val="0"/>
      </c:catAx>
      <c:valAx>
        <c:axId val="286848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5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2</cp:revision>
  <dcterms:created xsi:type="dcterms:W3CDTF">2017-12-05T08:59:00Z</dcterms:created>
  <dcterms:modified xsi:type="dcterms:W3CDTF">2017-12-05T08:59:00Z</dcterms:modified>
</cp:coreProperties>
</file>